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41C" w:rsidRDefault="0090741C" w:rsidP="0090741C">
      <w:pPr>
        <w:tabs>
          <w:tab w:val="left" w:pos="4950"/>
        </w:tabs>
        <w:jc w:val="center"/>
        <w:rPr>
          <w:sz w:val="22"/>
          <w:szCs w:val="22"/>
        </w:rPr>
      </w:pPr>
      <w:bookmarkStart w:id="0" w:name="_GoBack"/>
      <w:bookmarkEnd w:id="0"/>
      <w:r w:rsidRPr="0090741C">
        <w:rPr>
          <w:noProof/>
          <w:sz w:val="22"/>
          <w:szCs w:val="22"/>
        </w:rPr>
        <w:drawing>
          <wp:inline distT="0" distB="0" distL="0" distR="0">
            <wp:extent cx="4876800" cy="541655"/>
            <wp:effectExtent l="19050" t="0" r="0" b="0"/>
            <wp:docPr id="9" name="obrázek 18" descr="logo IOP + EU + text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 IOP + EU + text -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 </w:t>
      </w:r>
      <w:r w:rsidRPr="0090741C">
        <w:rPr>
          <w:noProof/>
          <w:sz w:val="22"/>
          <w:szCs w:val="22"/>
        </w:rPr>
        <w:drawing>
          <wp:inline distT="0" distB="0" distL="0" distR="0">
            <wp:extent cx="519430" cy="541655"/>
            <wp:effectExtent l="19050" t="0" r="0" b="0"/>
            <wp:docPr id="10" name="obrázek 19" descr="logoMPSV-m-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MPSV-m-s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41C" w:rsidRDefault="0090741C" w:rsidP="002611BB">
      <w:pPr>
        <w:tabs>
          <w:tab w:val="left" w:pos="4950"/>
        </w:tabs>
        <w:jc w:val="both"/>
        <w:rPr>
          <w:sz w:val="22"/>
          <w:szCs w:val="22"/>
        </w:rPr>
      </w:pPr>
    </w:p>
    <w:p w:rsidR="001F67F3" w:rsidRPr="003C648D" w:rsidRDefault="001F67F3" w:rsidP="002611BB">
      <w:pPr>
        <w:tabs>
          <w:tab w:val="left" w:pos="4950"/>
        </w:tabs>
        <w:jc w:val="both"/>
        <w:rPr>
          <w:sz w:val="22"/>
          <w:szCs w:val="22"/>
        </w:rPr>
      </w:pPr>
      <w:r w:rsidRPr="003C648D">
        <w:rPr>
          <w:sz w:val="22"/>
          <w:szCs w:val="22"/>
        </w:rPr>
        <w:t>Příloha č.</w:t>
      </w:r>
      <w:r w:rsidR="005B7A24">
        <w:rPr>
          <w:sz w:val="22"/>
          <w:szCs w:val="22"/>
        </w:rPr>
        <w:t xml:space="preserve"> 5</w:t>
      </w:r>
      <w:r w:rsidRPr="003C648D">
        <w:rPr>
          <w:sz w:val="22"/>
          <w:szCs w:val="22"/>
        </w:rPr>
        <w:t xml:space="preserve">  ZD – </w:t>
      </w:r>
      <w:r w:rsidR="00E83308">
        <w:rPr>
          <w:sz w:val="22"/>
          <w:szCs w:val="22"/>
        </w:rPr>
        <w:t>Seznam r</w:t>
      </w:r>
      <w:r w:rsidR="002E2930" w:rsidRPr="003C648D">
        <w:rPr>
          <w:sz w:val="22"/>
          <w:szCs w:val="22"/>
        </w:rPr>
        <w:t>eferenc</w:t>
      </w:r>
      <w:r w:rsidR="00E83308">
        <w:rPr>
          <w:sz w:val="22"/>
          <w:szCs w:val="22"/>
        </w:rPr>
        <w:t>í</w:t>
      </w:r>
      <w:r w:rsidR="002611BB" w:rsidRPr="003C648D">
        <w:rPr>
          <w:sz w:val="22"/>
          <w:szCs w:val="22"/>
        </w:rPr>
        <w:tab/>
      </w:r>
    </w:p>
    <w:p w:rsidR="001F67F3" w:rsidRPr="003C648D" w:rsidRDefault="001F67F3" w:rsidP="001F67F3">
      <w:pPr>
        <w:jc w:val="both"/>
      </w:pPr>
    </w:p>
    <w:p w:rsidR="001F67F3" w:rsidRPr="00DA730E" w:rsidRDefault="001F67F3" w:rsidP="005031C8">
      <w:pPr>
        <w:spacing w:after="120"/>
        <w:jc w:val="both"/>
      </w:pPr>
      <w:r w:rsidRPr="003C648D">
        <w:t xml:space="preserve">Uchazečem deklarované reference na </w:t>
      </w:r>
      <w:r w:rsidR="00BD6D7F" w:rsidRPr="003C648D">
        <w:t>odběry a odstra</w:t>
      </w:r>
      <w:r w:rsidR="00FD1D12" w:rsidRPr="003C648D">
        <w:t xml:space="preserve">nění stavebního </w:t>
      </w:r>
      <w:r w:rsidR="00BD6D7F" w:rsidRPr="003C648D">
        <w:t>odpadu z kategorie ostatní dle</w:t>
      </w:r>
      <w:r w:rsidRPr="003C648D">
        <w:rPr>
          <w:bCs/>
        </w:rPr>
        <w:t xml:space="preserve"> </w:t>
      </w:r>
      <w:r w:rsidRPr="003C648D">
        <w:t xml:space="preserve">bodu </w:t>
      </w:r>
      <w:r w:rsidR="00BD6D7F" w:rsidRPr="003C648D">
        <w:t>4</w:t>
      </w:r>
      <w:r w:rsidR="00884E99" w:rsidRPr="003C648D">
        <w:t>.1</w:t>
      </w:r>
      <w:r w:rsidRPr="003C648D">
        <w:t>.</w:t>
      </w:r>
      <w:r w:rsidR="00490859" w:rsidRPr="003C648D">
        <w:t>3</w:t>
      </w:r>
      <w:r w:rsidRPr="003C648D">
        <w:t>.</w:t>
      </w:r>
      <w:r w:rsidR="00AE7744" w:rsidRPr="003C648D">
        <w:t xml:space="preserve"> </w:t>
      </w:r>
      <w:r w:rsidRPr="003C648D">
        <w:t xml:space="preserve"> </w:t>
      </w:r>
      <w:r w:rsidR="005B7A24">
        <w:t xml:space="preserve">písm. a) </w:t>
      </w:r>
      <w:r w:rsidRPr="003C648D">
        <w:t>zadávací dokumentace.</w:t>
      </w:r>
    </w:p>
    <w:tbl>
      <w:tblPr>
        <w:tblW w:w="1467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320"/>
        <w:gridCol w:w="2358"/>
        <w:gridCol w:w="5589"/>
        <w:gridCol w:w="1284"/>
      </w:tblGrid>
      <w:tr w:rsidR="00821D59" w:rsidRPr="00DA730E" w:rsidTr="00127F99">
        <w:trPr>
          <w:trHeight w:val="869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D59" w:rsidRPr="00DA730E" w:rsidRDefault="00821D59" w:rsidP="00E96901">
            <w:pPr>
              <w:jc w:val="center"/>
              <w:rPr>
                <w:color w:val="000000"/>
              </w:rPr>
            </w:pPr>
            <w:r w:rsidRPr="00DA730E">
              <w:rPr>
                <w:color w:val="000000"/>
              </w:rPr>
              <w:t>Objednatel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00C1" w:rsidRPr="00DA730E" w:rsidRDefault="00127F99" w:rsidP="00127F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Finančních r</w:t>
            </w:r>
            <w:r w:rsidR="00821D59" w:rsidRPr="00DA730E">
              <w:rPr>
                <w:color w:val="000000"/>
              </w:rPr>
              <w:t>ozsah plnění</w:t>
            </w:r>
            <w:r>
              <w:rPr>
                <w:color w:val="000000"/>
              </w:rPr>
              <w:t xml:space="preserve"> (dodávky)</w:t>
            </w:r>
          </w:p>
        </w:tc>
        <w:tc>
          <w:tcPr>
            <w:tcW w:w="2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1B3A" w:rsidRPr="00DA730E" w:rsidRDefault="007977AB" w:rsidP="00127F99">
            <w:pPr>
              <w:ind w:right="119"/>
              <w:jc w:val="center"/>
              <w:rPr>
                <w:rFonts w:cs="Arial"/>
                <w:color w:val="000000"/>
              </w:rPr>
            </w:pPr>
            <w:r w:rsidRPr="00DA730E">
              <w:rPr>
                <w:rFonts w:cs="Arial"/>
                <w:color w:val="000000"/>
              </w:rPr>
              <w:t>Souh</w:t>
            </w:r>
            <w:r w:rsidR="0007657A">
              <w:rPr>
                <w:rFonts w:cs="Arial"/>
                <w:color w:val="000000"/>
              </w:rPr>
              <w:t>r</w:t>
            </w:r>
            <w:r w:rsidRPr="00DA730E">
              <w:rPr>
                <w:rFonts w:cs="Arial"/>
                <w:color w:val="000000"/>
              </w:rPr>
              <w:t>nné m</w:t>
            </w:r>
            <w:r w:rsidR="00821D59" w:rsidRPr="00DA730E">
              <w:rPr>
                <w:rFonts w:cs="Arial"/>
                <w:color w:val="000000"/>
              </w:rPr>
              <w:t xml:space="preserve">nožství </w:t>
            </w:r>
            <w:r w:rsidR="00127F99">
              <w:rPr>
                <w:rFonts w:cs="Arial"/>
                <w:color w:val="000000"/>
              </w:rPr>
              <w:t>dodaných kontrolních zařízení</w:t>
            </w:r>
          </w:p>
        </w:tc>
        <w:tc>
          <w:tcPr>
            <w:tcW w:w="5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0C1" w:rsidRPr="00DA730E" w:rsidRDefault="00E01E71">
            <w:pPr>
              <w:ind w:right="119"/>
              <w:jc w:val="center"/>
              <w:rPr>
                <w:rFonts w:cs="Arial"/>
                <w:color w:val="000000"/>
              </w:rPr>
            </w:pPr>
            <w:r w:rsidRPr="00DA730E">
              <w:rPr>
                <w:rFonts w:cs="Arial"/>
                <w:color w:val="000000"/>
              </w:rPr>
              <w:t xml:space="preserve">Z důvodu možnosti prověření předložených referencí dodavatel (uchazeč) uvede, kontaktní údaje </w:t>
            </w:r>
            <w:r w:rsidR="0090367F" w:rsidRPr="00DA730E">
              <w:rPr>
                <w:rFonts w:cs="Arial"/>
                <w:color w:val="000000"/>
              </w:rPr>
              <w:t>objednatele</w:t>
            </w:r>
            <w:r w:rsidRPr="00DA730E">
              <w:rPr>
                <w:rFonts w:cs="Arial"/>
                <w:color w:val="000000"/>
              </w:rPr>
              <w:t xml:space="preserve"> v</w:t>
            </w:r>
            <w:r w:rsidRPr="00DA730E">
              <w:rPr>
                <w:rFonts w:cs="Arial" w:hint="eastAsia"/>
                <w:color w:val="000000"/>
              </w:rPr>
              <w:t> </w:t>
            </w:r>
            <w:r w:rsidRPr="00DA730E">
              <w:rPr>
                <w:rFonts w:cs="Arial"/>
                <w:color w:val="000000"/>
              </w:rPr>
              <w:t xml:space="preserve">minimálním rozsahu (název a adresa firmy, kontaktní osoba, tel. číslo, e-mailová adresa </w:t>
            </w:r>
            <w:r w:rsidRPr="00DA730E">
              <w:rPr>
                <w:rFonts w:cs="Arial" w:hint="eastAsia"/>
                <w:color w:val="000000"/>
              </w:rPr>
              <w:t>apod.</w:t>
            </w:r>
            <w:r w:rsidRPr="00DA730E">
              <w:rPr>
                <w:rFonts w:cs="Arial"/>
                <w:color w:val="000000"/>
              </w:rPr>
              <w:t>)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D59" w:rsidRPr="00DA730E" w:rsidRDefault="00821D59" w:rsidP="00E96901">
            <w:pPr>
              <w:jc w:val="center"/>
              <w:rPr>
                <w:color w:val="000000"/>
              </w:rPr>
            </w:pPr>
            <w:r w:rsidRPr="00DA730E">
              <w:rPr>
                <w:color w:val="000000"/>
              </w:rPr>
              <w:t xml:space="preserve">Období       (od-do) </w:t>
            </w:r>
          </w:p>
          <w:p w:rsidR="00821D59" w:rsidRPr="00DA730E" w:rsidRDefault="0036291D" w:rsidP="003629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zajištění dodávky</w:t>
            </w:r>
          </w:p>
        </w:tc>
      </w:tr>
      <w:tr w:rsidR="00821D59" w:rsidRPr="00DA730E" w:rsidTr="00127F99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</w:tr>
      <w:tr w:rsidR="00821D59" w:rsidRPr="00DA730E" w:rsidTr="00127F99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</w:tr>
      <w:tr w:rsidR="00821D59" w:rsidRPr="00DA730E" w:rsidTr="00127F99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jc w:val="both"/>
              <w:rPr>
                <w:color w:val="000000"/>
              </w:rPr>
            </w:pPr>
            <w:r w:rsidRPr="00DA730E">
              <w:rPr>
                <w:color w:val="000000"/>
              </w:rPr>
              <w:t> </w:t>
            </w:r>
          </w:p>
        </w:tc>
      </w:tr>
      <w:tr w:rsidR="00821D59" w:rsidRPr="00DA730E" w:rsidTr="00127F99">
        <w:trPr>
          <w:trHeight w:hRule="exact" w:val="56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1D59" w:rsidRPr="00DA730E" w:rsidRDefault="00821D59" w:rsidP="00E969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730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1F67F3" w:rsidRPr="00DA730E" w:rsidRDefault="001F67F3" w:rsidP="001F67F3"/>
    <w:p w:rsidR="001F67F3" w:rsidRPr="00DA730E" w:rsidRDefault="001F67F3" w:rsidP="001F67F3">
      <w:pPr>
        <w:rPr>
          <w:u w:val="single"/>
        </w:rPr>
      </w:pPr>
      <w:r w:rsidRPr="00DA730E">
        <w:rPr>
          <w:u w:val="single"/>
        </w:rPr>
        <w:t>Poznámka</w:t>
      </w:r>
    </w:p>
    <w:p w:rsidR="0036291D" w:rsidRPr="00D61430" w:rsidRDefault="0036291D" w:rsidP="0036291D">
      <w:pPr>
        <w:spacing w:before="60"/>
        <w:jc w:val="both"/>
      </w:pPr>
      <w:r w:rsidRPr="00D61430">
        <w:rPr>
          <w:i/>
        </w:rPr>
        <w:t xml:space="preserve">Do kolonky „Období </w:t>
      </w:r>
      <w:r>
        <w:rPr>
          <w:i/>
        </w:rPr>
        <w:t xml:space="preserve">zajištění dodávky </w:t>
      </w:r>
      <w:r w:rsidRPr="00D61430">
        <w:rPr>
          <w:i/>
        </w:rPr>
        <w:t xml:space="preserve">(od – do)“ uchazeč uvede období, ve kterém </w:t>
      </w:r>
      <w:r>
        <w:rPr>
          <w:i/>
        </w:rPr>
        <w:t xml:space="preserve">zajišťoval </w:t>
      </w:r>
      <w:r w:rsidRPr="00D61430">
        <w:rPr>
          <w:i/>
        </w:rPr>
        <w:t>(pro účely prokázání technické kvalifikace)</w:t>
      </w:r>
      <w:r w:rsidRPr="005A0B14">
        <w:rPr>
          <w:bCs/>
          <w:i/>
        </w:rPr>
        <w:t xml:space="preserve"> </w:t>
      </w:r>
      <w:r>
        <w:rPr>
          <w:bCs/>
          <w:i/>
        </w:rPr>
        <w:t>dodávku kontrolních zařízení revizorů</w:t>
      </w:r>
      <w:r w:rsidRPr="00D61430">
        <w:rPr>
          <w:i/>
        </w:rPr>
        <w:t>. Období“ od – do“  se</w:t>
      </w:r>
      <w:r w:rsidRPr="00D61430">
        <w:rPr>
          <w:b/>
          <w:bCs/>
          <w:i/>
        </w:rPr>
        <w:t xml:space="preserve"> </w:t>
      </w:r>
      <w:r>
        <w:rPr>
          <w:i/>
        </w:rPr>
        <w:t>rozumí předchozích 36</w:t>
      </w:r>
      <w:r w:rsidRPr="00D61430">
        <w:rPr>
          <w:i/>
        </w:rPr>
        <w:t xml:space="preserve"> po sobě jdoucích měsíců do konce lhůty pro podání nabídek (tj. ve lhůtě od </w:t>
      </w:r>
      <w:r w:rsidR="0092769C">
        <w:rPr>
          <w:i/>
        </w:rPr>
        <w:t>11</w:t>
      </w:r>
      <w:r w:rsidR="0090741C" w:rsidRPr="0090741C">
        <w:rPr>
          <w:i/>
        </w:rPr>
        <w:t>. 07</w:t>
      </w:r>
      <w:r w:rsidRPr="0090741C">
        <w:rPr>
          <w:i/>
        </w:rPr>
        <w:t>.</w:t>
      </w:r>
      <w:r w:rsidR="0090741C" w:rsidRPr="0090741C">
        <w:rPr>
          <w:i/>
        </w:rPr>
        <w:t xml:space="preserve"> </w:t>
      </w:r>
      <w:r w:rsidRPr="0090741C">
        <w:rPr>
          <w:i/>
        </w:rPr>
        <w:t>201</w:t>
      </w:r>
      <w:r w:rsidR="0090741C" w:rsidRPr="0090741C">
        <w:rPr>
          <w:i/>
        </w:rPr>
        <w:t>3</w:t>
      </w:r>
      <w:r w:rsidRPr="0090741C">
        <w:rPr>
          <w:i/>
        </w:rPr>
        <w:t xml:space="preserve"> do </w:t>
      </w:r>
      <w:r w:rsidR="0092769C">
        <w:rPr>
          <w:i/>
        </w:rPr>
        <w:t>11</w:t>
      </w:r>
      <w:r w:rsidR="0090741C" w:rsidRPr="0090741C">
        <w:rPr>
          <w:i/>
        </w:rPr>
        <w:t xml:space="preserve">. 07. </w:t>
      </w:r>
      <w:r w:rsidRPr="0090741C">
        <w:rPr>
          <w:i/>
        </w:rPr>
        <w:t>2016). Zada</w:t>
      </w:r>
      <w:r w:rsidRPr="00D61430">
        <w:rPr>
          <w:i/>
        </w:rPr>
        <w:t xml:space="preserve">vatel uzná uchazečem předloženou referenci (poskytnutí </w:t>
      </w:r>
      <w:r>
        <w:rPr>
          <w:i/>
        </w:rPr>
        <w:t>dodávky</w:t>
      </w:r>
      <w:r w:rsidRPr="00D61430">
        <w:rPr>
          <w:i/>
        </w:rPr>
        <w:t>), kt</w:t>
      </w:r>
      <w:r>
        <w:rPr>
          <w:i/>
        </w:rPr>
        <w:t xml:space="preserve">erá byla zahájena před termínem </w:t>
      </w:r>
      <w:r w:rsidR="0092769C">
        <w:rPr>
          <w:i/>
        </w:rPr>
        <w:t>11</w:t>
      </w:r>
      <w:r w:rsidR="0090741C">
        <w:rPr>
          <w:i/>
        </w:rPr>
        <w:t xml:space="preserve">. </w:t>
      </w:r>
      <w:r w:rsidR="0090741C" w:rsidRPr="0090741C">
        <w:rPr>
          <w:i/>
        </w:rPr>
        <w:t>07</w:t>
      </w:r>
      <w:r w:rsidRPr="0090741C">
        <w:rPr>
          <w:i/>
        </w:rPr>
        <w:t>.</w:t>
      </w:r>
      <w:r w:rsidR="0090741C" w:rsidRPr="0090741C">
        <w:rPr>
          <w:i/>
        </w:rPr>
        <w:t xml:space="preserve"> </w:t>
      </w:r>
      <w:r w:rsidRPr="0090741C">
        <w:rPr>
          <w:i/>
        </w:rPr>
        <w:t>2016</w:t>
      </w:r>
      <w:r w:rsidRPr="00D61430">
        <w:rPr>
          <w:i/>
        </w:rPr>
        <w:t xml:space="preserve"> a trvá doposud, či byla ukončena v průběhu požadovaného období (</w:t>
      </w:r>
      <w:r w:rsidR="0090741C" w:rsidRPr="00D61430">
        <w:rPr>
          <w:i/>
        </w:rPr>
        <w:t xml:space="preserve">od </w:t>
      </w:r>
      <w:r w:rsidR="0092769C">
        <w:rPr>
          <w:i/>
        </w:rPr>
        <w:t>11</w:t>
      </w:r>
      <w:r w:rsidR="0090741C" w:rsidRPr="0090741C">
        <w:rPr>
          <w:i/>
        </w:rPr>
        <w:t xml:space="preserve">. 07. 2013 do </w:t>
      </w:r>
      <w:r w:rsidR="0092769C">
        <w:rPr>
          <w:i/>
        </w:rPr>
        <w:t>11</w:t>
      </w:r>
      <w:r w:rsidR="0090741C" w:rsidRPr="0090741C">
        <w:rPr>
          <w:i/>
        </w:rPr>
        <w:t>. 07. 2016</w:t>
      </w:r>
      <w:r w:rsidRPr="00D61430">
        <w:rPr>
          <w:i/>
        </w:rPr>
        <w:t>), pokud hodnota této prováděné služby splňuje požadavky stanovené zadavatelem v </w:t>
      </w:r>
      <w:r w:rsidRPr="003C648D">
        <w:rPr>
          <w:i/>
        </w:rPr>
        <w:t xml:space="preserve">bodu 4.1.3 </w:t>
      </w:r>
      <w:r w:rsidR="003C648D" w:rsidRPr="003C648D">
        <w:rPr>
          <w:i/>
        </w:rPr>
        <w:t>písm. a)</w:t>
      </w:r>
      <w:r w:rsidR="003C648D">
        <w:rPr>
          <w:i/>
        </w:rPr>
        <w:t xml:space="preserve"> </w:t>
      </w:r>
      <w:r w:rsidRPr="00D61430">
        <w:rPr>
          <w:i/>
        </w:rPr>
        <w:t xml:space="preserve">zadávací dokumentace. </w:t>
      </w:r>
    </w:p>
    <w:p w:rsidR="00AE7744" w:rsidRDefault="00AE7744" w:rsidP="001F67F3"/>
    <w:p w:rsidR="00E96901" w:rsidRDefault="00E96901" w:rsidP="001F67F3"/>
    <w:p w:rsidR="001F67F3" w:rsidRDefault="001F67F3" w:rsidP="001F67F3">
      <w:pPr>
        <w:tabs>
          <w:tab w:val="left" w:pos="5610"/>
        </w:tabs>
        <w:jc w:val="both"/>
        <w:rPr>
          <w:i/>
        </w:rPr>
      </w:pPr>
      <w:r>
        <w:rPr>
          <w:i/>
        </w:rPr>
        <w:t>…………………………………….</w:t>
      </w:r>
    </w:p>
    <w:p w:rsidR="005760C5" w:rsidRPr="001F67F3" w:rsidRDefault="001F67F3" w:rsidP="001F67F3">
      <w:r>
        <w:rPr>
          <w:i/>
        </w:rPr>
        <w:t>podpis oprávněné osoby uchazeče</w:t>
      </w:r>
    </w:p>
    <w:sectPr w:rsidR="005760C5" w:rsidRPr="001F67F3" w:rsidSect="00E96901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 w:code="9"/>
      <w:pgMar w:top="1836" w:right="1387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623" w:rsidRDefault="00C57623" w:rsidP="00360830">
      <w:r>
        <w:separator/>
      </w:r>
    </w:p>
  </w:endnote>
  <w:endnote w:type="continuationSeparator" w:id="0">
    <w:p w:rsidR="00C57623" w:rsidRDefault="00C5762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E71" w:rsidRDefault="00965C87" w:rsidP="00F234B1">
    <w:pPr>
      <w:pStyle w:val="Pata"/>
    </w:pPr>
    <w:sdt>
      <w:sdtPr>
        <w:rPr>
          <w:color w:val="auto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E01E71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0741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E01E71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FA10E0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E71" w:rsidRPr="001526C2" w:rsidRDefault="00E01E71" w:rsidP="002E2930">
    <w:pPr>
      <w:pStyle w:val="Pata"/>
      <w:tabs>
        <w:tab w:val="clear" w:pos="10206"/>
        <w:tab w:val="left" w:pos="8505"/>
      </w:tabs>
    </w:pPr>
    <w:r w:rsidRPr="001526C2">
      <w:tab/>
    </w:r>
  </w:p>
  <w:p w:rsidR="00E01E71" w:rsidRDefault="00965C87" w:rsidP="002E2930">
    <w:pPr>
      <w:pStyle w:val="Pata"/>
      <w:tabs>
        <w:tab w:val="clear" w:pos="10206"/>
        <w:tab w:val="left" w:pos="8222"/>
      </w:tabs>
    </w:pPr>
    <w:sdt>
      <w:sdtPr>
        <w:rPr>
          <w:color w:val="auto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E01E7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strana </w:t>
            </w:r>
            <w:r w:rsidR="00E042B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begin"/>
            </w:r>
            <w:r w:rsidR="00E01E7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instrText>PAGE</w:instrText>
            </w:r>
            <w:r w:rsidR="00E042B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</w:t>
            </w:r>
            <w:r w:rsidR="00E042B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 w:rsidR="00E01E7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r w:rsidR="00E042B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begin"/>
            </w:r>
            <w:r w:rsidR="00E01E71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instrText>NUMPAGES</w:instrText>
            </w:r>
            <w:r w:rsidR="00E042B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auto"/>
                <w:sz w:val="22"/>
                <w:szCs w:val="22"/>
              </w:rPr>
              <w:t>1</w:t>
            </w:r>
            <w:r w:rsidR="00E042B6" w:rsidRPr="001318B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fldChar w:fldCharType="end"/>
            </w:r>
            <w:r w:rsidR="00E01E71" w:rsidRPr="001526C2">
              <w:tab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623" w:rsidRDefault="00C57623" w:rsidP="00360830">
      <w:r>
        <w:separator/>
      </w:r>
    </w:p>
  </w:footnote>
  <w:footnote w:type="continuationSeparator" w:id="0">
    <w:p w:rsidR="00C57623" w:rsidRDefault="00C5762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E71" w:rsidRDefault="00E01E7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E71" w:rsidRPr="00A8700E" w:rsidRDefault="00E01E71" w:rsidP="00CC6FB5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6605270</wp:posOffset>
          </wp:positionH>
          <wp:positionV relativeFrom="page">
            <wp:posOffset>361950</wp:posOffset>
          </wp:positionV>
          <wp:extent cx="2143125" cy="552450"/>
          <wp:effectExtent l="19050" t="0" r="9525" b="0"/>
          <wp:wrapSquare wrapText="bothSides"/>
          <wp:docPr id="4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312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781050</wp:posOffset>
          </wp:positionH>
          <wp:positionV relativeFrom="page">
            <wp:posOffset>314325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</w:t>
    </w:r>
  </w:p>
  <w:p w:rsidR="00E01E71" w:rsidRDefault="00E01E71" w:rsidP="002E2930">
    <w:pPr>
      <w:pStyle w:val="Zhlav"/>
      <w:tabs>
        <w:tab w:val="clear" w:pos="4536"/>
        <w:tab w:val="clear" w:pos="9072"/>
      </w:tabs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360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BF"/>
    <w:rsid w:val="00002208"/>
    <w:rsid w:val="0000791F"/>
    <w:rsid w:val="00012348"/>
    <w:rsid w:val="00020CCD"/>
    <w:rsid w:val="000617BE"/>
    <w:rsid w:val="0007345D"/>
    <w:rsid w:val="0007657A"/>
    <w:rsid w:val="000A59BF"/>
    <w:rsid w:val="000C0B78"/>
    <w:rsid w:val="000C2F3E"/>
    <w:rsid w:val="000C4E61"/>
    <w:rsid w:val="000C5B9D"/>
    <w:rsid w:val="000E20BF"/>
    <w:rsid w:val="000F67AC"/>
    <w:rsid w:val="00110139"/>
    <w:rsid w:val="00127F99"/>
    <w:rsid w:val="001318B3"/>
    <w:rsid w:val="00133623"/>
    <w:rsid w:val="00145A19"/>
    <w:rsid w:val="001526C2"/>
    <w:rsid w:val="001B3CDB"/>
    <w:rsid w:val="001D1B45"/>
    <w:rsid w:val="001D2931"/>
    <w:rsid w:val="001E4DD0"/>
    <w:rsid w:val="001F3805"/>
    <w:rsid w:val="001F595F"/>
    <w:rsid w:val="001F67F3"/>
    <w:rsid w:val="00203A63"/>
    <w:rsid w:val="00206054"/>
    <w:rsid w:val="002103C7"/>
    <w:rsid w:val="00212144"/>
    <w:rsid w:val="00223CD1"/>
    <w:rsid w:val="0022495B"/>
    <w:rsid w:val="00230E86"/>
    <w:rsid w:val="002611BB"/>
    <w:rsid w:val="00276D8B"/>
    <w:rsid w:val="0029663E"/>
    <w:rsid w:val="002B73A0"/>
    <w:rsid w:val="002C08F2"/>
    <w:rsid w:val="002D2883"/>
    <w:rsid w:val="002E2930"/>
    <w:rsid w:val="002E5FA2"/>
    <w:rsid w:val="002F6607"/>
    <w:rsid w:val="003008B5"/>
    <w:rsid w:val="003078A2"/>
    <w:rsid w:val="00321C18"/>
    <w:rsid w:val="00340E91"/>
    <w:rsid w:val="00360830"/>
    <w:rsid w:val="00362826"/>
    <w:rsid w:val="0036291D"/>
    <w:rsid w:val="003B74C1"/>
    <w:rsid w:val="003C0EB6"/>
    <w:rsid w:val="003C648D"/>
    <w:rsid w:val="003F2CFB"/>
    <w:rsid w:val="003F2FA4"/>
    <w:rsid w:val="003F530B"/>
    <w:rsid w:val="00415879"/>
    <w:rsid w:val="004271D0"/>
    <w:rsid w:val="00450110"/>
    <w:rsid w:val="00490859"/>
    <w:rsid w:val="00497284"/>
    <w:rsid w:val="004A53FB"/>
    <w:rsid w:val="004B2C8D"/>
    <w:rsid w:val="004C0B5D"/>
    <w:rsid w:val="004D0094"/>
    <w:rsid w:val="004E24FA"/>
    <w:rsid w:val="004E694D"/>
    <w:rsid w:val="004F5F64"/>
    <w:rsid w:val="005031C8"/>
    <w:rsid w:val="0051285C"/>
    <w:rsid w:val="005306E0"/>
    <w:rsid w:val="00531695"/>
    <w:rsid w:val="00541B3A"/>
    <w:rsid w:val="00542FAC"/>
    <w:rsid w:val="00555AAB"/>
    <w:rsid w:val="005738FC"/>
    <w:rsid w:val="00574214"/>
    <w:rsid w:val="005760C5"/>
    <w:rsid w:val="0057775E"/>
    <w:rsid w:val="0058592D"/>
    <w:rsid w:val="005B1387"/>
    <w:rsid w:val="005B7A24"/>
    <w:rsid w:val="006053B9"/>
    <w:rsid w:val="00606F47"/>
    <w:rsid w:val="00614136"/>
    <w:rsid w:val="006207E2"/>
    <w:rsid w:val="00644EA3"/>
    <w:rsid w:val="006474C6"/>
    <w:rsid w:val="0065709A"/>
    <w:rsid w:val="006732BA"/>
    <w:rsid w:val="0068199D"/>
    <w:rsid w:val="00695E4E"/>
    <w:rsid w:val="006A7708"/>
    <w:rsid w:val="006D17B4"/>
    <w:rsid w:val="00701DD1"/>
    <w:rsid w:val="007417BF"/>
    <w:rsid w:val="00762DAF"/>
    <w:rsid w:val="00776EF0"/>
    <w:rsid w:val="007977AB"/>
    <w:rsid w:val="007B131A"/>
    <w:rsid w:val="007B6DA0"/>
    <w:rsid w:val="007D2F14"/>
    <w:rsid w:val="007E7DC1"/>
    <w:rsid w:val="007F342D"/>
    <w:rsid w:val="00802B34"/>
    <w:rsid w:val="00811B71"/>
    <w:rsid w:val="008160F1"/>
    <w:rsid w:val="008205C6"/>
    <w:rsid w:val="00821D59"/>
    <w:rsid w:val="00832218"/>
    <w:rsid w:val="00835590"/>
    <w:rsid w:val="0084130A"/>
    <w:rsid w:val="00845D37"/>
    <w:rsid w:val="00847D47"/>
    <w:rsid w:val="00870D7E"/>
    <w:rsid w:val="00871E0A"/>
    <w:rsid w:val="00882DC3"/>
    <w:rsid w:val="00884E99"/>
    <w:rsid w:val="008B2BEF"/>
    <w:rsid w:val="008E20F1"/>
    <w:rsid w:val="008F0855"/>
    <w:rsid w:val="008F251C"/>
    <w:rsid w:val="0090367F"/>
    <w:rsid w:val="0090741C"/>
    <w:rsid w:val="009163F5"/>
    <w:rsid w:val="0092769C"/>
    <w:rsid w:val="00930F5A"/>
    <w:rsid w:val="00932BB7"/>
    <w:rsid w:val="00962141"/>
    <w:rsid w:val="00965C87"/>
    <w:rsid w:val="00966664"/>
    <w:rsid w:val="0098101F"/>
    <w:rsid w:val="009A3F72"/>
    <w:rsid w:val="009A7D91"/>
    <w:rsid w:val="009B7CF2"/>
    <w:rsid w:val="009C6155"/>
    <w:rsid w:val="009F49AE"/>
    <w:rsid w:val="00A000C1"/>
    <w:rsid w:val="00A042D1"/>
    <w:rsid w:val="00A07672"/>
    <w:rsid w:val="00A0782F"/>
    <w:rsid w:val="00A10F10"/>
    <w:rsid w:val="00A15FA1"/>
    <w:rsid w:val="00A22122"/>
    <w:rsid w:val="00A713E9"/>
    <w:rsid w:val="00A74C13"/>
    <w:rsid w:val="00AA6ACD"/>
    <w:rsid w:val="00AB1A8B"/>
    <w:rsid w:val="00AB5DA7"/>
    <w:rsid w:val="00AD0597"/>
    <w:rsid w:val="00AD4108"/>
    <w:rsid w:val="00AE7744"/>
    <w:rsid w:val="00AF2968"/>
    <w:rsid w:val="00B12706"/>
    <w:rsid w:val="00B15006"/>
    <w:rsid w:val="00B31897"/>
    <w:rsid w:val="00B42D08"/>
    <w:rsid w:val="00B63507"/>
    <w:rsid w:val="00B82EC5"/>
    <w:rsid w:val="00B83D21"/>
    <w:rsid w:val="00BD6D7F"/>
    <w:rsid w:val="00BF0D60"/>
    <w:rsid w:val="00BF68C5"/>
    <w:rsid w:val="00C0736E"/>
    <w:rsid w:val="00C162A1"/>
    <w:rsid w:val="00C21181"/>
    <w:rsid w:val="00C3037B"/>
    <w:rsid w:val="00C37193"/>
    <w:rsid w:val="00C57623"/>
    <w:rsid w:val="00C7291C"/>
    <w:rsid w:val="00CA1A2F"/>
    <w:rsid w:val="00CB5F7B"/>
    <w:rsid w:val="00CB7789"/>
    <w:rsid w:val="00CC6FB5"/>
    <w:rsid w:val="00CE005B"/>
    <w:rsid w:val="00CE6C4F"/>
    <w:rsid w:val="00D04B9B"/>
    <w:rsid w:val="00D24B69"/>
    <w:rsid w:val="00D944C9"/>
    <w:rsid w:val="00DA3B36"/>
    <w:rsid w:val="00DA730E"/>
    <w:rsid w:val="00DB64BA"/>
    <w:rsid w:val="00DF7E12"/>
    <w:rsid w:val="00E01E71"/>
    <w:rsid w:val="00E042B6"/>
    <w:rsid w:val="00E40CD1"/>
    <w:rsid w:val="00E66AC2"/>
    <w:rsid w:val="00E83308"/>
    <w:rsid w:val="00E96901"/>
    <w:rsid w:val="00E97538"/>
    <w:rsid w:val="00EA3FD4"/>
    <w:rsid w:val="00EA6B11"/>
    <w:rsid w:val="00EB38BF"/>
    <w:rsid w:val="00EC5E78"/>
    <w:rsid w:val="00EE2F17"/>
    <w:rsid w:val="00EE7B70"/>
    <w:rsid w:val="00F04EA3"/>
    <w:rsid w:val="00F234B1"/>
    <w:rsid w:val="00F36543"/>
    <w:rsid w:val="00F539F2"/>
    <w:rsid w:val="00F640B1"/>
    <w:rsid w:val="00F82711"/>
    <w:rsid w:val="00F94B91"/>
    <w:rsid w:val="00FA10E0"/>
    <w:rsid w:val="00FA58CF"/>
    <w:rsid w:val="00FA5928"/>
    <w:rsid w:val="00FD1D12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47E805BF-1A54-4D04-AA03-58CC630D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6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/>
      <w:jc w:val="both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  <w:spacing w:after="1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pPr>
      <w:spacing w:after="120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pPr>
      <w:spacing w:after="120"/>
      <w:jc w:val="both"/>
    </w:pPr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spacing w:after="120"/>
      <w:contextualSpacing/>
      <w:jc w:val="both"/>
    </w:pPr>
    <w:rPr>
      <w:sz w:val="22"/>
      <w:szCs w:val="20"/>
    </w:r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spacing w:after="120"/>
      <w:ind w:left="1068"/>
      <w:contextualSpacing/>
      <w:jc w:val="both"/>
    </w:pPr>
    <w:rPr>
      <w:sz w:val="22"/>
      <w:szCs w:val="20"/>
    </w:r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1735C-E02D-44DB-B20D-766E1BCE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kaluzovar</dc:creator>
  <cp:lastModifiedBy>Ondrůšková Alexandra</cp:lastModifiedBy>
  <cp:revision>2</cp:revision>
  <cp:lastPrinted>2016-06-14T08:45:00Z</cp:lastPrinted>
  <dcterms:created xsi:type="dcterms:W3CDTF">2019-04-16T11:27:00Z</dcterms:created>
  <dcterms:modified xsi:type="dcterms:W3CDTF">2019-04-16T11:27:00Z</dcterms:modified>
</cp:coreProperties>
</file>